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E43" w:rsidRDefault="00037E43">
      <w:pPr>
        <w:spacing w:after="200" w:line="276" w:lineRule="auto"/>
      </w:pPr>
    </w:p>
    <w:p w:rsidR="0000733C" w:rsidRPr="000D4130" w:rsidRDefault="000D4130" w:rsidP="000D4130">
      <w:pPr>
        <w:spacing w:before="240" w:after="600"/>
        <w:jc w:val="right"/>
      </w:pPr>
      <w:bookmarkStart w:id="0" w:name="_GoBack"/>
      <w:bookmarkEnd w:id="0"/>
      <w:r w:rsidRPr="000D4130">
        <w:t xml:space="preserve">Załącznik nr </w:t>
      </w:r>
      <w:r w:rsidR="00D820A6">
        <w:t>12</w:t>
      </w:r>
    </w:p>
    <w:p w:rsidR="00BF359C" w:rsidRPr="005D74CE" w:rsidRDefault="00C40CA3" w:rsidP="00BF359C">
      <w:pPr>
        <w:spacing w:before="240" w:after="120"/>
        <w:jc w:val="center"/>
        <w:rPr>
          <w:b/>
          <w:bCs/>
          <w:i/>
          <w:iCs/>
        </w:rPr>
      </w:pPr>
      <w:r>
        <w:rPr>
          <w:b/>
          <w:bCs/>
        </w:rPr>
        <w:t>Harmonogram oceny merytorycznej</w:t>
      </w:r>
      <w:r w:rsidR="00BF359C" w:rsidRPr="005D74CE">
        <w:rPr>
          <w:b/>
          <w:bCs/>
        </w:rPr>
        <w:t xml:space="preserve"> </w:t>
      </w:r>
      <w:r w:rsidR="00BF359C" w:rsidRPr="005D74CE">
        <w:rPr>
          <w:b/>
        </w:rPr>
        <w:t>Posiedzenia Komisji Oceny Projektów dla Osi priorytetowej</w:t>
      </w:r>
      <w:r w:rsidR="00BF359C">
        <w:rPr>
          <w:b/>
          <w:bCs/>
        </w:rPr>
        <w:t xml:space="preserve"> VIII</w:t>
      </w:r>
      <w:r w:rsidR="00BF359C" w:rsidRPr="005D74CE">
        <w:rPr>
          <w:b/>
          <w:bCs/>
        </w:rPr>
        <w:t xml:space="preserve"> </w:t>
      </w:r>
      <w:r w:rsidR="00BF359C">
        <w:rPr>
          <w:b/>
          <w:bCs/>
        </w:rPr>
        <w:t xml:space="preserve"> </w:t>
      </w:r>
      <w:r w:rsidR="00BF359C" w:rsidRPr="003C6598">
        <w:rPr>
          <w:b/>
        </w:rPr>
        <w:t>Rozwój rynku pracy</w:t>
      </w:r>
      <w:r w:rsidR="00BF359C">
        <w:t xml:space="preserve"> </w:t>
      </w:r>
      <w:r w:rsidR="00BF359C" w:rsidRPr="005D74CE">
        <w:rPr>
          <w:b/>
          <w:bCs/>
        </w:rPr>
        <w:t xml:space="preserve">dla konkursu zamkniętego nr </w:t>
      </w:r>
      <w:r w:rsidR="00BF359C">
        <w:rPr>
          <w:b/>
          <w:bCs/>
        </w:rPr>
        <w:t xml:space="preserve">                    </w:t>
      </w:r>
      <w:r w:rsidR="00BF359C" w:rsidRPr="003C6598">
        <w:rPr>
          <w:b/>
        </w:rPr>
        <w:t>RPMA.08.03.01-IP.02-14-001/17</w:t>
      </w:r>
      <w:r w:rsidR="00BF359C" w:rsidRPr="005D74CE">
        <w:rPr>
          <w:b/>
          <w:bCs/>
        </w:rPr>
        <w:br/>
        <w:t xml:space="preserve">w ramach </w:t>
      </w:r>
      <w:r w:rsidR="00BF359C" w:rsidRPr="003C6598">
        <w:rPr>
          <w:b/>
        </w:rPr>
        <w:t>Działania 8.3 Ułatwianie powrotu do aktywności zawodowej osób sprawujących opiekę nad dziećmi do lat 3</w:t>
      </w:r>
      <w:r w:rsidR="00BF359C">
        <w:t xml:space="preserve"> </w:t>
      </w:r>
      <w:r w:rsidR="00BF359C" w:rsidRPr="005D74CE">
        <w:rPr>
          <w:b/>
          <w:bCs/>
        </w:rPr>
        <w:t>Poddziałania</w:t>
      </w:r>
      <w:r w:rsidR="00BF359C">
        <w:rPr>
          <w:b/>
          <w:bCs/>
        </w:rPr>
        <w:t xml:space="preserve"> </w:t>
      </w:r>
      <w:r w:rsidR="00BF359C" w:rsidRPr="003C6598">
        <w:rPr>
          <w:b/>
        </w:rPr>
        <w:t>8.3.1 Ułatwianie powrotu do aktywności zawodowej</w:t>
      </w:r>
      <w:r w:rsidR="00BF359C" w:rsidRPr="005D74CE">
        <w:rPr>
          <w:b/>
          <w:bCs/>
        </w:rPr>
        <w:t>, RPO WM 2014-2020</w:t>
      </w:r>
    </w:p>
    <w:p w:rsidR="00A30B16" w:rsidRPr="00A30B16" w:rsidRDefault="00A30B16" w:rsidP="00A30B16">
      <w:pPr>
        <w:spacing w:before="240" w:after="120"/>
        <w:jc w:val="center"/>
        <w:rPr>
          <w:b/>
          <w:bCs/>
        </w:rPr>
      </w:pPr>
    </w:p>
    <w:p w:rsidR="002E27A0" w:rsidRDefault="002E27A0" w:rsidP="00A771BE">
      <w:pPr>
        <w:spacing w:before="240" w:after="120"/>
        <w:jc w:val="center"/>
        <w:rPr>
          <w:b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004"/>
      </w:tblGrid>
      <w:tr w:rsidR="00A204BB" w:rsidRPr="009348C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9348CC" w:rsidRDefault="00A204BB" w:rsidP="00DC17B4">
            <w:pPr>
              <w:pStyle w:val="Tekstpodstawowy"/>
              <w:jc w:val="center"/>
              <w:rPr>
                <w:b/>
                <w:sz w:val="26"/>
                <w:szCs w:val="26"/>
              </w:rPr>
            </w:pPr>
            <w:r w:rsidRPr="009348CC">
              <w:rPr>
                <w:b/>
                <w:sz w:val="26"/>
                <w:szCs w:val="26"/>
              </w:rPr>
              <w:t>Etap oceny merytorycznej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  <w:vAlign w:val="center"/>
          </w:tcPr>
          <w:p w:rsidR="00F306A7" w:rsidRDefault="004A3359">
            <w:pPr>
              <w:pStyle w:val="Tekstpodstawowy"/>
              <w:spacing w:after="120"/>
              <w:jc w:val="left"/>
            </w:pPr>
            <w:r>
              <w:t xml:space="preserve">Termin </w:t>
            </w:r>
            <w:r w:rsidR="00B36507">
              <w:t>rozpoczęcia posiedzenia</w:t>
            </w:r>
            <w:r w:rsidR="00570015">
              <w:t xml:space="preserve"> KOP</w:t>
            </w:r>
            <w:r>
              <w:t>.</w:t>
            </w:r>
          </w:p>
        </w:tc>
        <w:tc>
          <w:tcPr>
            <w:tcW w:w="5004" w:type="dxa"/>
            <w:vAlign w:val="center"/>
          </w:tcPr>
          <w:p w:rsidR="00CE0A73" w:rsidRPr="002E27A0" w:rsidRDefault="00970D1D" w:rsidP="005F796D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2 listopada 2017 r. </w:t>
            </w:r>
          </w:p>
        </w:tc>
      </w:tr>
      <w:tr w:rsidR="00DC17B4" w:rsidTr="005F796D">
        <w:trPr>
          <w:trHeight w:val="422"/>
        </w:trPr>
        <w:tc>
          <w:tcPr>
            <w:tcW w:w="4499" w:type="dxa"/>
            <w:vAlign w:val="center"/>
          </w:tcPr>
          <w:p w:rsidR="00DC17B4" w:rsidRDefault="00DC17B4">
            <w:pPr>
              <w:pStyle w:val="Tekstpodstawowy"/>
              <w:spacing w:after="120"/>
              <w:jc w:val="left"/>
            </w:pPr>
            <w:r>
              <w:t>Ocena merytoryczna rozumiana jako podpisanie przez oceniających kart oceny merytorycznej wszystkich projektów ocenianych w ram</w:t>
            </w:r>
            <w:r w:rsidR="004A3359">
              <w:t>ach KOP lub wydanie rozstrzygnię</w:t>
            </w:r>
            <w:r>
              <w:t>cia przez przewodniczącego KOP.</w:t>
            </w:r>
          </w:p>
        </w:tc>
        <w:tc>
          <w:tcPr>
            <w:tcW w:w="5004" w:type="dxa"/>
            <w:vAlign w:val="center"/>
          </w:tcPr>
          <w:p w:rsidR="00B438F0" w:rsidRPr="00827AD4" w:rsidRDefault="00DC17B4" w:rsidP="009277AF">
            <w:pPr>
              <w:pStyle w:val="Tekstpodstawowy"/>
              <w:spacing w:after="120"/>
              <w:jc w:val="left"/>
              <w:rPr>
                <w:i/>
              </w:rPr>
            </w:pPr>
            <w:r w:rsidRPr="00827AD4">
              <w:rPr>
                <w:i/>
              </w:rPr>
              <w:t xml:space="preserve">W terminie nie późniejszym niż </w:t>
            </w:r>
            <w:r w:rsidR="000E199E">
              <w:rPr>
                <w:i/>
              </w:rPr>
              <w:t>80</w:t>
            </w:r>
            <w:r w:rsidR="009277AF" w:rsidRPr="00827AD4">
              <w:rPr>
                <w:i/>
              </w:rPr>
              <w:t xml:space="preserve"> </w:t>
            </w:r>
            <w:r w:rsidRPr="00827AD4">
              <w:rPr>
                <w:i/>
              </w:rPr>
              <w:t>dni od dnia zatwierdzenia Protokołu</w:t>
            </w:r>
            <w:r w:rsidR="00B438F0">
              <w:rPr>
                <w:i/>
              </w:rPr>
              <w:t xml:space="preserve"> z prac KOP po ocenie formalnej – do 15 stycznia 2018 r. </w:t>
            </w:r>
            <w:r w:rsidRPr="00827AD4">
              <w:rPr>
                <w:i/>
              </w:rPr>
              <w:t xml:space="preserve"> W uzasadnionych przypadkach za zgodą IZ termin może ulec wydłużeniu.  </w:t>
            </w:r>
          </w:p>
        </w:tc>
      </w:tr>
      <w:tr w:rsidR="00DC17B4" w:rsidTr="005F796D">
        <w:trPr>
          <w:trHeight w:val="422"/>
        </w:trPr>
        <w:tc>
          <w:tcPr>
            <w:tcW w:w="4499" w:type="dxa"/>
            <w:vAlign w:val="center"/>
          </w:tcPr>
          <w:p w:rsidR="00DC17B4" w:rsidRDefault="00DC17B4">
            <w:pPr>
              <w:pStyle w:val="Tekstpodstawowy"/>
              <w:spacing w:after="120"/>
              <w:jc w:val="left"/>
            </w:pPr>
            <w:r>
              <w:t>W przypadku stwierdzenia na etapie oceny merytorycznej niespełnienia kryteriów weryfikowanych na etapie oceny formalnej, wniosek podlega ponownej ocenie formalnej.</w:t>
            </w:r>
          </w:p>
        </w:tc>
        <w:tc>
          <w:tcPr>
            <w:tcW w:w="5004" w:type="dxa"/>
            <w:vAlign w:val="center"/>
          </w:tcPr>
          <w:p w:rsidR="00DC17B4" w:rsidRPr="00827AD4" w:rsidRDefault="00DC17B4" w:rsidP="00DC17B4">
            <w:pPr>
              <w:pStyle w:val="Tekstpodstawowy"/>
              <w:spacing w:after="120"/>
              <w:jc w:val="left"/>
              <w:rPr>
                <w:i/>
              </w:rPr>
            </w:pPr>
            <w:r w:rsidRPr="00827AD4">
              <w:rPr>
                <w:i/>
              </w:rPr>
              <w:t xml:space="preserve">W terminie 5 dni liczonych od dnia podpisania karty oceny merytorycznej przez oceniającego następuje zwrot </w:t>
            </w:r>
            <w:r w:rsidR="00AD7F2F" w:rsidRPr="00827AD4">
              <w:rPr>
                <w:i/>
              </w:rPr>
              <w:t xml:space="preserve">wniosku do oceny formalnej. </w:t>
            </w:r>
          </w:p>
        </w:tc>
      </w:tr>
      <w:tr w:rsidR="00AD7F2F" w:rsidTr="005F796D">
        <w:trPr>
          <w:trHeight w:val="422"/>
        </w:trPr>
        <w:tc>
          <w:tcPr>
            <w:tcW w:w="4499" w:type="dxa"/>
            <w:vAlign w:val="center"/>
          </w:tcPr>
          <w:p w:rsidR="00AD7F2F" w:rsidRDefault="00AD7F2F" w:rsidP="004A3359">
            <w:pPr>
              <w:pStyle w:val="Tekstpodstawowy"/>
              <w:spacing w:after="120"/>
              <w:jc w:val="left"/>
            </w:pPr>
            <w:r>
              <w:t>W przypadku zidentyfikowania braków formalnych lub oczywistych pomyłek i jednoczesnej pozytywnej weryfikacji spełniania kryteriów ocenianych na etapie oceny merytorycznej, do projektodawcy wysyłana jest informacja z prośbą o uzupełnienie/poprawienie wniosku.</w:t>
            </w:r>
          </w:p>
          <w:p w:rsidR="00AD7F2F" w:rsidRDefault="00AD7F2F" w:rsidP="004A3359">
            <w:pPr>
              <w:pStyle w:val="Tekstpodstawowy"/>
              <w:spacing w:after="120"/>
              <w:jc w:val="left"/>
            </w:pPr>
            <w:r>
              <w:t>Informacja w powyższym zakresie może być również wysłana wraz z informacją o możliwości podjęcia negocjacji, ale tylko pod warunkiem jeśli brak formalny nie uniemożliwia przeprowadzenia oceny wniosku.</w:t>
            </w:r>
          </w:p>
        </w:tc>
        <w:tc>
          <w:tcPr>
            <w:tcW w:w="5004" w:type="dxa"/>
            <w:vAlign w:val="center"/>
          </w:tcPr>
          <w:p w:rsidR="00AD7F2F" w:rsidRPr="00827AD4" w:rsidRDefault="00AD7F2F" w:rsidP="00DC17B4">
            <w:pPr>
              <w:pStyle w:val="Tekstpodstawowy"/>
              <w:spacing w:after="120"/>
              <w:jc w:val="left"/>
              <w:rPr>
                <w:i/>
              </w:rPr>
            </w:pPr>
            <w:r w:rsidRPr="00827AD4">
              <w:rPr>
                <w:i/>
              </w:rPr>
              <w:t>W terminie 4 dni od daty podpisania karty oceny merytorycznej przez oceniających.</w:t>
            </w:r>
          </w:p>
        </w:tc>
      </w:tr>
      <w:tr w:rsidR="00AD7F2F" w:rsidTr="005F796D">
        <w:trPr>
          <w:trHeight w:val="422"/>
        </w:trPr>
        <w:tc>
          <w:tcPr>
            <w:tcW w:w="4499" w:type="dxa"/>
            <w:vAlign w:val="center"/>
          </w:tcPr>
          <w:p w:rsidR="00AD7F2F" w:rsidRDefault="00AD7F2F" w:rsidP="004A3359">
            <w:pPr>
              <w:pStyle w:val="Tekstpodstawowy"/>
              <w:spacing w:after="120"/>
              <w:jc w:val="left"/>
            </w:pPr>
            <w:r>
              <w:t>Weryfikacja uzupełnionego/poprawionego wniosku pod względem wymogów formalnych.</w:t>
            </w:r>
          </w:p>
        </w:tc>
        <w:tc>
          <w:tcPr>
            <w:tcW w:w="5004" w:type="dxa"/>
            <w:vAlign w:val="center"/>
          </w:tcPr>
          <w:p w:rsidR="00AD7F2F" w:rsidRPr="00827AD4" w:rsidRDefault="00FD70D5" w:rsidP="00DC17B4">
            <w:pPr>
              <w:pStyle w:val="Tekstpodstawowy"/>
              <w:spacing w:after="120"/>
              <w:jc w:val="left"/>
              <w:rPr>
                <w:i/>
              </w:rPr>
            </w:pPr>
            <w:r w:rsidRPr="00827AD4">
              <w:rPr>
                <w:i/>
              </w:rPr>
              <w:t>7 dni od daty złoż</w:t>
            </w:r>
            <w:r w:rsidR="00AD7F2F" w:rsidRPr="00827AD4">
              <w:rPr>
                <w:i/>
              </w:rPr>
              <w:t xml:space="preserve">enia przez wnioskodawcę uzupełnionego/poprawnego wniosku. </w:t>
            </w:r>
          </w:p>
        </w:tc>
      </w:tr>
      <w:tr w:rsidR="00CE0A73" w:rsidTr="005F796D">
        <w:trPr>
          <w:trHeight w:val="422"/>
        </w:trPr>
        <w:tc>
          <w:tcPr>
            <w:tcW w:w="4499" w:type="dxa"/>
          </w:tcPr>
          <w:p w:rsidR="00CE0A73" w:rsidRDefault="00FD70D5" w:rsidP="004A3359">
            <w:pPr>
              <w:pStyle w:val="Tekstpodstawowy"/>
              <w:spacing w:after="120"/>
              <w:jc w:val="left"/>
            </w:pPr>
            <w:r>
              <w:t xml:space="preserve">W przypadku negatywnej weryfikacji uzupełnionego/poprawionego wniosku </w:t>
            </w:r>
            <w:r>
              <w:lastRenderedPageBreak/>
              <w:t>poinformowanie wnioskodawcy pismem o pozostawieniu wniosku bez rozpatrzenia.</w:t>
            </w:r>
          </w:p>
        </w:tc>
        <w:tc>
          <w:tcPr>
            <w:tcW w:w="5004" w:type="dxa"/>
          </w:tcPr>
          <w:p w:rsidR="00CE0A73" w:rsidRPr="00827AD4" w:rsidRDefault="00FD70D5" w:rsidP="00DC17B4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lastRenderedPageBreak/>
              <w:t xml:space="preserve">W terminie 4 dni od daty ponownej weryfikacji wniosku. </w:t>
            </w:r>
          </w:p>
        </w:tc>
      </w:tr>
      <w:tr w:rsidR="00FD70D5" w:rsidTr="005F796D">
        <w:trPr>
          <w:trHeight w:val="422"/>
        </w:trPr>
        <w:tc>
          <w:tcPr>
            <w:tcW w:w="4499" w:type="dxa"/>
          </w:tcPr>
          <w:p w:rsidR="00FD70D5" w:rsidRDefault="00FD70D5" w:rsidP="004A3359">
            <w:pPr>
              <w:pStyle w:val="Tekstpodstawowy"/>
              <w:spacing w:after="120"/>
              <w:jc w:val="left"/>
            </w:pPr>
            <w:r>
              <w:t>W przypadku odrzucenia wniosku z powodu nieuzyskania pozytywnej oceny merytorycznej - poinformowanie wnioskodawcy pismem o zakończeniu oceny i o jej negatywnym wyniku oraz o możliwości wniesienia protestu.</w:t>
            </w:r>
          </w:p>
        </w:tc>
        <w:tc>
          <w:tcPr>
            <w:tcW w:w="5004" w:type="dxa"/>
          </w:tcPr>
          <w:p w:rsidR="00FD70D5" w:rsidRPr="00827AD4" w:rsidRDefault="00FD70D5" w:rsidP="00DC17B4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t>W terminie 7 dni od podpisania kart oceny merytorycznej.</w:t>
            </w:r>
          </w:p>
        </w:tc>
      </w:tr>
      <w:tr w:rsidR="00FD70D5" w:rsidTr="005F796D">
        <w:trPr>
          <w:trHeight w:val="422"/>
        </w:trPr>
        <w:tc>
          <w:tcPr>
            <w:tcW w:w="4499" w:type="dxa"/>
          </w:tcPr>
          <w:p w:rsidR="00FD70D5" w:rsidRDefault="00FD70D5" w:rsidP="004A3359">
            <w:pPr>
              <w:pStyle w:val="Tekstpodstawowy"/>
              <w:spacing w:after="120"/>
              <w:jc w:val="left"/>
            </w:pPr>
            <w:r>
              <w:t>W przypadku wniosku skierowanego do negocjacji poinformowanie wnioskodawcy pismem o możliwości podjęcia negocjacji.</w:t>
            </w:r>
          </w:p>
        </w:tc>
        <w:tc>
          <w:tcPr>
            <w:tcW w:w="5004" w:type="dxa"/>
          </w:tcPr>
          <w:p w:rsidR="00FD70D5" w:rsidRPr="00827AD4" w:rsidRDefault="00FD70D5" w:rsidP="00DC17B4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t>Niezwłocznie.</w:t>
            </w:r>
          </w:p>
        </w:tc>
      </w:tr>
      <w:tr w:rsidR="00FD70D5" w:rsidTr="005F796D">
        <w:trPr>
          <w:trHeight w:val="422"/>
        </w:trPr>
        <w:tc>
          <w:tcPr>
            <w:tcW w:w="4499" w:type="dxa"/>
          </w:tcPr>
          <w:p w:rsidR="00FD70D5" w:rsidRDefault="00FD70D5" w:rsidP="004A3359">
            <w:pPr>
              <w:pStyle w:val="Tekstpodstawowy"/>
              <w:spacing w:after="120"/>
              <w:jc w:val="left"/>
            </w:pPr>
            <w:r>
              <w:t>Przeprowadzenie negocjacji projektu.</w:t>
            </w:r>
          </w:p>
        </w:tc>
        <w:tc>
          <w:tcPr>
            <w:tcW w:w="5004" w:type="dxa"/>
          </w:tcPr>
          <w:p w:rsidR="00FD70D5" w:rsidRPr="00827AD4" w:rsidRDefault="00827AD4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t xml:space="preserve">W terminie nie późniejszym niż </w:t>
            </w:r>
            <w:r w:rsidR="000E199E">
              <w:rPr>
                <w:i/>
              </w:rPr>
              <w:t>80</w:t>
            </w:r>
            <w:r w:rsidR="009277AF" w:rsidRPr="00827AD4">
              <w:rPr>
                <w:i/>
              </w:rPr>
              <w:t xml:space="preserve"> </w:t>
            </w:r>
            <w:r w:rsidRPr="00827AD4">
              <w:rPr>
                <w:i/>
              </w:rPr>
              <w:t>dni od dnia zatwierdzenia protokołu z prac KOP po ocenie formalnej.</w:t>
            </w:r>
          </w:p>
        </w:tc>
      </w:tr>
      <w:tr w:rsidR="00FD70D5" w:rsidTr="005F796D">
        <w:trPr>
          <w:trHeight w:val="422"/>
        </w:trPr>
        <w:tc>
          <w:tcPr>
            <w:tcW w:w="4499" w:type="dxa"/>
          </w:tcPr>
          <w:p w:rsidR="00FD70D5" w:rsidRDefault="00827AD4" w:rsidP="004A3359">
            <w:pPr>
              <w:pStyle w:val="Tekstpodstawowy"/>
              <w:spacing w:after="120"/>
              <w:jc w:val="left"/>
            </w:pPr>
            <w:r>
              <w:t xml:space="preserve">Przygotowanie pisma informującego wnioskodawcę, który podjął negocjacje o ich wyniku. </w:t>
            </w:r>
          </w:p>
        </w:tc>
        <w:tc>
          <w:tcPr>
            <w:tcW w:w="5004" w:type="dxa"/>
          </w:tcPr>
          <w:p w:rsidR="00FD70D5" w:rsidRPr="00827AD4" w:rsidRDefault="00827AD4" w:rsidP="00DC17B4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t>Niezwłocznie.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57303F" w:rsidRDefault="00827AD4" w:rsidP="004A3359">
            <w:pPr>
              <w:pStyle w:val="Tekstpodstawowy"/>
              <w:spacing w:after="120"/>
              <w:jc w:val="left"/>
            </w:pPr>
            <w:r>
              <w:t xml:space="preserve">Sporządzenie protokołu KOP. 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827AD4" w:rsidRDefault="00827AD4" w:rsidP="0057303F">
            <w:pPr>
              <w:pStyle w:val="Tekstpodstawowy"/>
              <w:spacing w:after="120"/>
              <w:rPr>
                <w:i/>
              </w:rPr>
            </w:pPr>
            <w:r w:rsidRPr="00827AD4">
              <w:rPr>
                <w:i/>
              </w:rPr>
              <w:t>Niezwłocznie.</w:t>
            </w:r>
          </w:p>
        </w:tc>
      </w:tr>
      <w:tr w:rsidR="0057303F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DE3E77" w:rsidRDefault="00827AD4" w:rsidP="000E199E">
            <w:pPr>
              <w:pStyle w:val="Tekstpodstawowy"/>
              <w:spacing w:after="120"/>
              <w:jc w:val="left"/>
            </w:pPr>
            <w:r>
              <w:t xml:space="preserve">Zatwierdzenie listy wniosków o dofinansowanie projektów ocenianych w ramach konkursu zamkniętego </w:t>
            </w:r>
            <w:r w:rsidR="000E199E">
              <w:t xml:space="preserve">posiedzenia KOP dla konkursu nr </w:t>
            </w:r>
            <w:r w:rsidR="000E199E" w:rsidRPr="003C6598">
              <w:rPr>
                <w:b/>
              </w:rPr>
              <w:t>RPMA.08.03.01-IP.02-14-001/17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57303F" w:rsidRDefault="00827AD4" w:rsidP="00827AD4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Niezwłocznie</w:t>
            </w:r>
          </w:p>
        </w:tc>
      </w:tr>
      <w:tr w:rsidR="00BE2734" w:rsidTr="00827AD4">
        <w:trPr>
          <w:trHeight w:val="530"/>
        </w:trPr>
        <w:tc>
          <w:tcPr>
            <w:tcW w:w="4499" w:type="dxa"/>
          </w:tcPr>
          <w:p w:rsidR="00BE2734" w:rsidRDefault="00827AD4" w:rsidP="00970D1D">
            <w:pPr>
              <w:pStyle w:val="Tekstpodstawowy"/>
              <w:spacing w:after="120"/>
              <w:jc w:val="left"/>
            </w:pPr>
            <w:r>
              <w:t>Ogłoszenie listy projektów ocenionych podczas posiedzenia KOP dla konkursu nr</w:t>
            </w:r>
            <w:r w:rsidR="00970D1D">
              <w:t xml:space="preserve"> </w:t>
            </w:r>
            <w:r w:rsidR="00970D1D" w:rsidRPr="003C6598">
              <w:rPr>
                <w:b/>
              </w:rPr>
              <w:t>RPMA.08.03.01-IP.02-14-001/17</w:t>
            </w:r>
            <w:r>
              <w:t xml:space="preserve"> z wyróżnieniem projektów skierowanych do dofinansowania.</w:t>
            </w:r>
          </w:p>
        </w:tc>
        <w:tc>
          <w:tcPr>
            <w:tcW w:w="5004" w:type="dxa"/>
          </w:tcPr>
          <w:p w:rsidR="00827AD4" w:rsidRPr="00A0690E" w:rsidRDefault="00A0690E" w:rsidP="00DC17B4">
            <w:pPr>
              <w:pStyle w:val="Tekstpodstawowy"/>
              <w:spacing w:after="120"/>
              <w:rPr>
                <w:i/>
              </w:rPr>
            </w:pPr>
            <w:r w:rsidRPr="00A0690E">
              <w:rPr>
                <w:i/>
              </w:rPr>
              <w:t>W terminie 7 dni od dnia podję</w:t>
            </w:r>
            <w:r w:rsidR="00827AD4" w:rsidRPr="00A0690E">
              <w:rPr>
                <w:i/>
              </w:rPr>
              <w:t>cia uchwały przez Zarząd Województwa Mazowieckiego zatwierdzającej listę projektów wybranych do dofinansowania.</w:t>
            </w:r>
          </w:p>
        </w:tc>
      </w:tr>
      <w:tr w:rsidR="00827AD4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827AD4" w:rsidRDefault="00A0690E" w:rsidP="004A3359">
            <w:pPr>
              <w:pStyle w:val="Tekstpodstawowy"/>
              <w:spacing w:after="120"/>
              <w:jc w:val="left"/>
            </w:pPr>
            <w:r>
              <w:t xml:space="preserve">Wysłanie do wnioskodawcy pisma informującego o możliwości przyjęcia wniosku do realizacji lub pozytywnym rozpatrzeniu wniosku, ale nieprzyjęciu go do dofinansowania z powodu braku środków finansowych. 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827AD4" w:rsidRPr="00A0690E" w:rsidRDefault="00A0690E" w:rsidP="00DC17B4">
            <w:pPr>
              <w:pStyle w:val="Tekstpodstawowy"/>
              <w:spacing w:after="120"/>
              <w:rPr>
                <w:i/>
              </w:rPr>
            </w:pPr>
            <w:r w:rsidRPr="00A0690E">
              <w:rPr>
                <w:i/>
              </w:rPr>
              <w:t>W terminie 14 dni od d</w:t>
            </w:r>
            <w:r w:rsidR="00887E59">
              <w:rPr>
                <w:i/>
              </w:rPr>
              <w:t>nia podjęcia uchwały przez Zarzą</w:t>
            </w:r>
            <w:r w:rsidRPr="00A0690E">
              <w:rPr>
                <w:i/>
              </w:rPr>
              <w:t xml:space="preserve">d Województwa Mazowieckiego zatwierdzającej listę projektów wybranych do dofinansowania. </w:t>
            </w:r>
          </w:p>
        </w:tc>
      </w:tr>
    </w:tbl>
    <w:p w:rsidR="00935A5E" w:rsidRPr="00866144" w:rsidRDefault="00935A5E">
      <w:pPr>
        <w:spacing w:line="360" w:lineRule="auto"/>
        <w:jc w:val="both"/>
        <w:rPr>
          <w:sz w:val="26"/>
          <w:szCs w:val="26"/>
        </w:rPr>
      </w:pPr>
    </w:p>
    <w:sectPr w:rsidR="00935A5E" w:rsidRPr="00866144" w:rsidSect="00105BF7">
      <w:headerReference w:type="default" r:id="rId6"/>
      <w:pgSz w:w="11906" w:h="16838"/>
      <w:pgMar w:top="96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3E" w:rsidRDefault="0022263E" w:rsidP="009F4885">
      <w:r>
        <w:separator/>
      </w:r>
    </w:p>
  </w:endnote>
  <w:endnote w:type="continuationSeparator" w:id="0">
    <w:p w:rsidR="0022263E" w:rsidRDefault="0022263E" w:rsidP="009F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3E" w:rsidRDefault="0022263E" w:rsidP="009F4885">
      <w:r>
        <w:separator/>
      </w:r>
    </w:p>
  </w:footnote>
  <w:footnote w:type="continuationSeparator" w:id="0">
    <w:p w:rsidR="0022263E" w:rsidRDefault="0022263E" w:rsidP="009F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90E" w:rsidRDefault="00A0690E">
    <w:pPr>
      <w:pStyle w:val="Nagwek"/>
    </w:pPr>
    <w:r>
      <w:rPr>
        <w:noProof/>
      </w:rPr>
      <w:drawing>
        <wp:inline distT="0" distB="0" distL="0" distR="0">
          <wp:extent cx="5760720" cy="493505"/>
          <wp:effectExtent l="19050" t="0" r="0" b="0"/>
          <wp:docPr id="1" name="Obraz 1" descr="C:\Users\MDytytniak\AppData\Local\Temp\Rar$DI06.500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Dytytniak\AppData\Local\Temp\Rar$DI06.500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BB"/>
    <w:rsid w:val="0000733C"/>
    <w:rsid w:val="0001197A"/>
    <w:rsid w:val="000220EB"/>
    <w:rsid w:val="00037E43"/>
    <w:rsid w:val="00054B97"/>
    <w:rsid w:val="00063B99"/>
    <w:rsid w:val="00065950"/>
    <w:rsid w:val="00066669"/>
    <w:rsid w:val="00076B89"/>
    <w:rsid w:val="000B507D"/>
    <w:rsid w:val="000D4130"/>
    <w:rsid w:val="000E199E"/>
    <w:rsid w:val="001017B4"/>
    <w:rsid w:val="00105BF7"/>
    <w:rsid w:val="00105C88"/>
    <w:rsid w:val="00117830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17BFC"/>
    <w:rsid w:val="0022263E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76093"/>
    <w:rsid w:val="0037720B"/>
    <w:rsid w:val="00382204"/>
    <w:rsid w:val="003850CE"/>
    <w:rsid w:val="00392CFC"/>
    <w:rsid w:val="003A288B"/>
    <w:rsid w:val="003A54BA"/>
    <w:rsid w:val="003F77A0"/>
    <w:rsid w:val="00412050"/>
    <w:rsid w:val="0041404E"/>
    <w:rsid w:val="00416C7A"/>
    <w:rsid w:val="00423FA4"/>
    <w:rsid w:val="00433A61"/>
    <w:rsid w:val="00441B8B"/>
    <w:rsid w:val="0045752F"/>
    <w:rsid w:val="004A3359"/>
    <w:rsid w:val="004D5B14"/>
    <w:rsid w:val="005144CD"/>
    <w:rsid w:val="00531104"/>
    <w:rsid w:val="005533F0"/>
    <w:rsid w:val="00561DB9"/>
    <w:rsid w:val="00570015"/>
    <w:rsid w:val="0057303F"/>
    <w:rsid w:val="00575EDF"/>
    <w:rsid w:val="005766E1"/>
    <w:rsid w:val="005A4336"/>
    <w:rsid w:val="005D5A26"/>
    <w:rsid w:val="005F1E59"/>
    <w:rsid w:val="005F2B7C"/>
    <w:rsid w:val="005F796D"/>
    <w:rsid w:val="006075B0"/>
    <w:rsid w:val="006156CF"/>
    <w:rsid w:val="0062597D"/>
    <w:rsid w:val="00640555"/>
    <w:rsid w:val="00653B5E"/>
    <w:rsid w:val="006771F6"/>
    <w:rsid w:val="006E4935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27AD4"/>
    <w:rsid w:val="00841256"/>
    <w:rsid w:val="00857B1D"/>
    <w:rsid w:val="00866144"/>
    <w:rsid w:val="00866E09"/>
    <w:rsid w:val="0088608B"/>
    <w:rsid w:val="00887E59"/>
    <w:rsid w:val="00894644"/>
    <w:rsid w:val="008C010D"/>
    <w:rsid w:val="008C3339"/>
    <w:rsid w:val="008E25A3"/>
    <w:rsid w:val="00922238"/>
    <w:rsid w:val="009277AF"/>
    <w:rsid w:val="00934D9C"/>
    <w:rsid w:val="00935A5E"/>
    <w:rsid w:val="009441E3"/>
    <w:rsid w:val="009573FF"/>
    <w:rsid w:val="00966B58"/>
    <w:rsid w:val="00970D1D"/>
    <w:rsid w:val="009C7458"/>
    <w:rsid w:val="009F4885"/>
    <w:rsid w:val="00A0690E"/>
    <w:rsid w:val="00A134F8"/>
    <w:rsid w:val="00A204BB"/>
    <w:rsid w:val="00A30B16"/>
    <w:rsid w:val="00A37EFE"/>
    <w:rsid w:val="00A41498"/>
    <w:rsid w:val="00A4435A"/>
    <w:rsid w:val="00A60341"/>
    <w:rsid w:val="00A60533"/>
    <w:rsid w:val="00A74BB5"/>
    <w:rsid w:val="00A771BE"/>
    <w:rsid w:val="00A82BDC"/>
    <w:rsid w:val="00A92202"/>
    <w:rsid w:val="00AA60BF"/>
    <w:rsid w:val="00AD7F2F"/>
    <w:rsid w:val="00AE2D95"/>
    <w:rsid w:val="00AE6954"/>
    <w:rsid w:val="00B0084E"/>
    <w:rsid w:val="00B20A39"/>
    <w:rsid w:val="00B36507"/>
    <w:rsid w:val="00B438F0"/>
    <w:rsid w:val="00B8436C"/>
    <w:rsid w:val="00BA4CA8"/>
    <w:rsid w:val="00BA5469"/>
    <w:rsid w:val="00BA6425"/>
    <w:rsid w:val="00BB0613"/>
    <w:rsid w:val="00BC476B"/>
    <w:rsid w:val="00BD1150"/>
    <w:rsid w:val="00BE2734"/>
    <w:rsid w:val="00BE70C5"/>
    <w:rsid w:val="00BE7996"/>
    <w:rsid w:val="00BF1DF5"/>
    <w:rsid w:val="00BF359C"/>
    <w:rsid w:val="00BF4306"/>
    <w:rsid w:val="00C07D27"/>
    <w:rsid w:val="00C223EF"/>
    <w:rsid w:val="00C40CA3"/>
    <w:rsid w:val="00C618D9"/>
    <w:rsid w:val="00C70DF4"/>
    <w:rsid w:val="00C91388"/>
    <w:rsid w:val="00CA2371"/>
    <w:rsid w:val="00CB68A6"/>
    <w:rsid w:val="00CC190B"/>
    <w:rsid w:val="00CE0A73"/>
    <w:rsid w:val="00D3353E"/>
    <w:rsid w:val="00D70E3B"/>
    <w:rsid w:val="00D820A6"/>
    <w:rsid w:val="00D82F26"/>
    <w:rsid w:val="00D91D16"/>
    <w:rsid w:val="00DB2876"/>
    <w:rsid w:val="00DC17B4"/>
    <w:rsid w:val="00DC5618"/>
    <w:rsid w:val="00DF4D4C"/>
    <w:rsid w:val="00E12928"/>
    <w:rsid w:val="00E2442A"/>
    <w:rsid w:val="00E27758"/>
    <w:rsid w:val="00E323F4"/>
    <w:rsid w:val="00E36CB8"/>
    <w:rsid w:val="00E50249"/>
    <w:rsid w:val="00E505F4"/>
    <w:rsid w:val="00E82C42"/>
    <w:rsid w:val="00EF73F7"/>
    <w:rsid w:val="00F00505"/>
    <w:rsid w:val="00F04A5B"/>
    <w:rsid w:val="00F118B4"/>
    <w:rsid w:val="00F306A7"/>
    <w:rsid w:val="00F44C18"/>
    <w:rsid w:val="00F823C9"/>
    <w:rsid w:val="00F97CDC"/>
    <w:rsid w:val="00FC3897"/>
    <w:rsid w:val="00FC4C04"/>
    <w:rsid w:val="00FD0CCE"/>
    <w:rsid w:val="00FD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69E3"/>
  <w15:docId w15:val="{5063DF3F-3EFC-497B-8EC7-AC91329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MMarczuk</cp:lastModifiedBy>
  <cp:revision>7</cp:revision>
  <cp:lastPrinted>2013-08-22T13:53:00Z</cp:lastPrinted>
  <dcterms:created xsi:type="dcterms:W3CDTF">2017-10-27T09:21:00Z</dcterms:created>
  <dcterms:modified xsi:type="dcterms:W3CDTF">2017-10-31T14:23:00Z</dcterms:modified>
</cp:coreProperties>
</file>